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F3" w:rsidRPr="00422884" w:rsidRDefault="00150AF3" w:rsidP="00150AF3">
      <w:pPr>
        <w:spacing w:after="0" w:line="360" w:lineRule="auto"/>
        <w:jc w:val="both"/>
        <w:rPr>
          <w:rFonts w:ascii="Palatino Linotype" w:hAnsi="Palatino Linotype"/>
          <w:b/>
          <w:sz w:val="23"/>
          <w:szCs w:val="23"/>
        </w:rPr>
      </w:pPr>
      <w:r w:rsidRPr="00422884">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E920A5">
        <w:rPr>
          <w:rFonts w:ascii="Palatino Linotype" w:hAnsi="Palatino Linotype"/>
          <w:b/>
          <w:sz w:val="23"/>
          <w:szCs w:val="23"/>
        </w:rPr>
        <w:t>SEXTA</w:t>
      </w:r>
      <w:r w:rsidR="000F1303" w:rsidRPr="00422884">
        <w:rPr>
          <w:rFonts w:ascii="Palatino Linotype" w:hAnsi="Palatino Linotype"/>
          <w:b/>
          <w:sz w:val="23"/>
          <w:szCs w:val="23"/>
        </w:rPr>
        <w:t xml:space="preserve"> </w:t>
      </w:r>
      <w:r w:rsidRPr="00422884">
        <w:rPr>
          <w:rFonts w:ascii="Palatino Linotype" w:hAnsi="Palatino Linotype"/>
          <w:b/>
          <w:sz w:val="23"/>
          <w:szCs w:val="23"/>
        </w:rPr>
        <w:t xml:space="preserve">SESIÓN ORDINARIA DEL </w:t>
      </w:r>
      <w:r w:rsidR="00E920A5">
        <w:rPr>
          <w:rFonts w:ascii="Palatino Linotype" w:hAnsi="Palatino Linotype"/>
          <w:b/>
          <w:sz w:val="23"/>
          <w:szCs w:val="23"/>
        </w:rPr>
        <w:t xml:space="preserve">TRECE DE FEBRERO </w:t>
      </w:r>
      <w:r w:rsidR="00E64B4A">
        <w:rPr>
          <w:rFonts w:ascii="Palatino Linotype" w:hAnsi="Palatino Linotype"/>
          <w:b/>
          <w:sz w:val="23"/>
          <w:szCs w:val="23"/>
        </w:rPr>
        <w:t>DE DOS MIL DIECINUEVE</w:t>
      </w:r>
      <w:r w:rsidRPr="00422884">
        <w:rPr>
          <w:rFonts w:ascii="Palatino Linotype" w:hAnsi="Palatino Linotype"/>
          <w:b/>
          <w:sz w:val="23"/>
          <w:szCs w:val="23"/>
        </w:rPr>
        <w:t>, EN EL RECURSO DE REVISIÓN 0</w:t>
      </w:r>
      <w:r w:rsidR="00E920A5">
        <w:rPr>
          <w:rFonts w:ascii="Palatino Linotype" w:hAnsi="Palatino Linotype"/>
          <w:b/>
          <w:sz w:val="23"/>
          <w:szCs w:val="23"/>
        </w:rPr>
        <w:t>4627</w:t>
      </w:r>
      <w:r w:rsidR="000F1303" w:rsidRPr="00422884">
        <w:rPr>
          <w:rFonts w:ascii="Palatino Linotype" w:hAnsi="Palatino Linotype"/>
          <w:b/>
          <w:sz w:val="23"/>
          <w:szCs w:val="23"/>
        </w:rPr>
        <w:t>/INFOEM/IP/RR/2018</w:t>
      </w:r>
      <w:r w:rsidRPr="00422884">
        <w:rPr>
          <w:rFonts w:ascii="Palatino Linotype" w:hAnsi="Palatino Linotype"/>
          <w:b/>
          <w:sz w:val="23"/>
          <w:szCs w:val="23"/>
        </w:rPr>
        <w:t>.</w:t>
      </w:r>
    </w:p>
    <w:p w:rsidR="00150AF3" w:rsidRPr="00422884" w:rsidRDefault="00150AF3" w:rsidP="00150AF3">
      <w:pPr>
        <w:spacing w:after="0" w:line="240" w:lineRule="auto"/>
        <w:jc w:val="both"/>
        <w:rPr>
          <w:rFonts w:ascii="Palatino Linotype" w:hAnsi="Palatino Linotype"/>
          <w:b/>
          <w:sz w:val="23"/>
          <w:szCs w:val="23"/>
        </w:rPr>
      </w:pPr>
    </w:p>
    <w:p w:rsidR="00150AF3" w:rsidRDefault="00150AF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422884">
        <w:rPr>
          <w:rFonts w:ascii="Palatino Linotype" w:hAnsi="Palatino Linotype"/>
          <w:b/>
          <w:sz w:val="23"/>
          <w:szCs w:val="23"/>
        </w:rPr>
        <w:t xml:space="preserve">VOTO PARTICULAR </w:t>
      </w:r>
      <w:r w:rsidRPr="00422884">
        <w:rPr>
          <w:rFonts w:ascii="Palatino Linotype" w:hAnsi="Palatino Linotype"/>
          <w:sz w:val="23"/>
          <w:szCs w:val="23"/>
        </w:rPr>
        <w:t>respecto a la resolución dictada en el recurso de revisión número 0</w:t>
      </w:r>
      <w:r w:rsidR="00E64B4A">
        <w:rPr>
          <w:rFonts w:ascii="Palatino Linotype" w:hAnsi="Palatino Linotype"/>
          <w:sz w:val="23"/>
          <w:szCs w:val="23"/>
        </w:rPr>
        <w:t>4</w:t>
      </w:r>
      <w:r w:rsidR="0016426E">
        <w:rPr>
          <w:rFonts w:ascii="Palatino Linotype" w:hAnsi="Palatino Linotype"/>
          <w:sz w:val="23"/>
          <w:szCs w:val="23"/>
        </w:rPr>
        <w:t>627</w:t>
      </w:r>
      <w:r w:rsidR="000F1303" w:rsidRPr="00422884">
        <w:rPr>
          <w:rFonts w:ascii="Palatino Linotype" w:hAnsi="Palatino Linotype"/>
          <w:sz w:val="23"/>
          <w:szCs w:val="23"/>
        </w:rPr>
        <w:t>/INFOEM/IP/RR/2018</w:t>
      </w:r>
      <w:r w:rsidRPr="00422884">
        <w:rPr>
          <w:rFonts w:ascii="Palatino Linotype" w:hAnsi="Palatino Linotype"/>
          <w:sz w:val="23"/>
          <w:szCs w:val="23"/>
        </w:rPr>
        <w:t xml:space="preserve">, pronunciada por el Pleno de este Instituto ante el proyecto presentado por </w:t>
      </w:r>
      <w:r w:rsidR="0016426E">
        <w:rPr>
          <w:rFonts w:ascii="Palatino Linotype" w:hAnsi="Palatino Linotype"/>
          <w:sz w:val="23"/>
          <w:szCs w:val="23"/>
        </w:rPr>
        <w:t>la</w:t>
      </w:r>
      <w:r w:rsidR="000F1303" w:rsidRPr="00422884">
        <w:rPr>
          <w:rFonts w:ascii="Palatino Linotype" w:hAnsi="Palatino Linotype"/>
          <w:sz w:val="23"/>
          <w:szCs w:val="23"/>
        </w:rPr>
        <w:t xml:space="preserve"> Comisionad</w:t>
      </w:r>
      <w:r w:rsidR="0016426E">
        <w:rPr>
          <w:rFonts w:ascii="Palatino Linotype" w:hAnsi="Palatino Linotype"/>
          <w:sz w:val="23"/>
          <w:szCs w:val="23"/>
        </w:rPr>
        <w:t>a</w:t>
      </w:r>
      <w:r w:rsidRPr="00422884">
        <w:rPr>
          <w:rFonts w:ascii="Palatino Linotype" w:hAnsi="Palatino Linotype"/>
          <w:sz w:val="23"/>
          <w:szCs w:val="23"/>
        </w:rPr>
        <w:t xml:space="preserve"> </w:t>
      </w:r>
      <w:r w:rsidR="0016426E">
        <w:rPr>
          <w:rFonts w:ascii="Palatino Linotype" w:hAnsi="Palatino Linotype"/>
          <w:sz w:val="23"/>
          <w:szCs w:val="23"/>
        </w:rPr>
        <w:t>Eva Avaid Yapur</w:t>
      </w:r>
      <w:r w:rsidR="000F1303" w:rsidRPr="00422884">
        <w:rPr>
          <w:rFonts w:ascii="Palatino Linotype" w:hAnsi="Palatino Linotype"/>
          <w:sz w:val="23"/>
          <w:szCs w:val="23"/>
        </w:rPr>
        <w:t>.</w:t>
      </w:r>
      <w:r w:rsidRPr="00422884">
        <w:rPr>
          <w:rFonts w:ascii="Palatino Linotype" w:hAnsi="Palatino Linotype"/>
          <w:sz w:val="23"/>
          <w:szCs w:val="23"/>
        </w:rPr>
        <w:t xml:space="preserve"> </w:t>
      </w:r>
    </w:p>
    <w:p w:rsidR="00E64B4A" w:rsidRPr="00422884" w:rsidRDefault="00E64B4A" w:rsidP="00150AF3">
      <w:pPr>
        <w:spacing w:after="0" w:line="360" w:lineRule="auto"/>
        <w:jc w:val="both"/>
        <w:rPr>
          <w:rFonts w:ascii="Palatino Linotype" w:hAnsi="Palatino Linotype"/>
          <w:sz w:val="23"/>
          <w:szCs w:val="23"/>
        </w:rPr>
      </w:pPr>
    </w:p>
    <w:p w:rsidR="00150AF3" w:rsidRDefault="000F130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Antes de platear el punto sobre el cual versa el presente voto, </w:t>
      </w:r>
      <w:r w:rsidR="00150AF3" w:rsidRPr="00422884">
        <w:rPr>
          <w:rFonts w:ascii="Palatino Linotype" w:hAnsi="Palatino Linotype"/>
          <w:sz w:val="23"/>
          <w:szCs w:val="23"/>
        </w:rPr>
        <w:t xml:space="preserve">es de suma importancia mencionar que el suscrito en términos generales coincide en el sentido de la resolución del recurso de revisión al rubro indicado, lo anterior es así </w:t>
      </w:r>
      <w:r w:rsidRPr="00422884">
        <w:rPr>
          <w:rFonts w:ascii="Palatino Linotype" w:hAnsi="Palatino Linotype"/>
          <w:sz w:val="23"/>
          <w:szCs w:val="23"/>
        </w:rPr>
        <w:t>como a continuación se explica</w:t>
      </w:r>
      <w:r w:rsidR="00150AF3" w:rsidRPr="00422884">
        <w:rPr>
          <w:rFonts w:ascii="Palatino Linotype" w:hAnsi="Palatino Linotype"/>
          <w:sz w:val="23"/>
          <w:szCs w:val="23"/>
        </w:rPr>
        <w:t>:</w:t>
      </w:r>
    </w:p>
    <w:p w:rsidR="00E64B4A" w:rsidRPr="00422884" w:rsidRDefault="00E64B4A" w:rsidP="00150AF3">
      <w:pPr>
        <w:spacing w:after="0" w:line="360" w:lineRule="auto"/>
        <w:jc w:val="both"/>
        <w:rPr>
          <w:rFonts w:ascii="Palatino Linotype" w:hAnsi="Palatino Linotype"/>
          <w:sz w:val="23"/>
          <w:szCs w:val="23"/>
        </w:rPr>
      </w:pPr>
    </w:p>
    <w:p w:rsidR="00150AF3" w:rsidRPr="00422884" w:rsidRDefault="00150AF3"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primer lugar debe precisarse que del análisis realizado a las constancias que integran el recurso de revisión al rubro anotado se advierte que la impetrante a través de la solicitud número </w:t>
      </w:r>
      <w:r w:rsidR="0016426E" w:rsidRPr="00C83AF2">
        <w:rPr>
          <w:rFonts w:ascii="Palatino Linotype" w:hAnsi="Palatino Linotype" w:cs="Arial"/>
          <w:b/>
          <w:bCs/>
          <w:sz w:val="24"/>
        </w:rPr>
        <w:t>00021/UPVM/IP/2018</w:t>
      </w:r>
      <w:r w:rsidRPr="00422884">
        <w:rPr>
          <w:rFonts w:ascii="Palatino Linotype" w:hAnsi="Palatino Linotype"/>
          <w:b/>
          <w:bCs/>
          <w:sz w:val="23"/>
          <w:szCs w:val="23"/>
          <w:lang w:val="es-ES"/>
        </w:rPr>
        <w:t xml:space="preserve"> </w:t>
      </w:r>
      <w:r w:rsidRPr="00422884">
        <w:rPr>
          <w:rFonts w:ascii="Palatino Linotype" w:hAnsi="Palatino Linotype"/>
          <w:sz w:val="23"/>
          <w:szCs w:val="23"/>
        </w:rPr>
        <w:t>requirió que se le entregara lo siguiente:</w:t>
      </w:r>
    </w:p>
    <w:p w:rsidR="00150AF3" w:rsidRPr="00422884" w:rsidRDefault="00150AF3" w:rsidP="00150AF3">
      <w:pPr>
        <w:spacing w:after="0" w:line="360" w:lineRule="auto"/>
        <w:jc w:val="both"/>
        <w:rPr>
          <w:rFonts w:ascii="Palatino Linotype" w:hAnsi="Palatino Linotype"/>
          <w:sz w:val="24"/>
          <w:szCs w:val="24"/>
        </w:rPr>
      </w:pPr>
    </w:p>
    <w:p w:rsidR="00150AF3" w:rsidRPr="00422884" w:rsidRDefault="0016426E" w:rsidP="0016426E">
      <w:pPr>
        <w:pStyle w:val="Prrafodelista"/>
        <w:spacing w:after="0" w:line="360" w:lineRule="auto"/>
        <w:jc w:val="both"/>
        <w:rPr>
          <w:rFonts w:ascii="Palatino Linotype" w:hAnsi="Palatino Linotype"/>
          <w:i/>
          <w:sz w:val="21"/>
          <w:szCs w:val="21"/>
          <w:lang w:eastAsia="es-MX"/>
        </w:rPr>
      </w:pPr>
      <w:r>
        <w:rPr>
          <w:rFonts w:ascii="Palatino Linotype" w:hAnsi="Palatino Linotype" w:cs="Arial"/>
          <w:i/>
        </w:rPr>
        <w:t>“</w:t>
      </w:r>
      <w:r w:rsidRPr="00C83AF2">
        <w:rPr>
          <w:rFonts w:ascii="Palatino Linotype" w:hAnsi="Palatino Linotype" w:cs="Arial"/>
          <w:i/>
        </w:rPr>
        <w:t>Se solicita a la contraloría interna de la UPVM información referente a que si alguno de los funcionarios de dicho organismo en las manifestaciones de bienes, en el apartado de conflicto de intereses reporta tener de subordinado a un familiar. Lo anterior en cumplimiento con el capitulo II, en especifico con el artículo 42 de la Ley de Responsabilidades de los Servidores Públicos del Estado y Municipios. del Estado de México. Por otra parte con fecha 15 de junio de 2018 se llevó a cabo la instalación del comité de ética y prevención de conflicto de intereses de la Universidad Politécnica del Valle de México, en el acta correspondiente se ostentan los siguientes funcionarios titular de la secretaría administrativa Mto. Jorge I. Hernández Hernández, se solicita documentación oficial que avale su maestría o en su caso el número de cédula profesional, así como la titular de la Subdirección de Planeación Ing. adriana Olivares Melgarejo, se solicita documento oficial que avale su ingeniería o el número de cédula profesional.</w:t>
      </w:r>
      <w:r>
        <w:rPr>
          <w:rFonts w:ascii="Palatino Linotype" w:hAnsi="Palatino Linotype"/>
          <w:i/>
          <w:sz w:val="21"/>
          <w:szCs w:val="21"/>
          <w:lang w:eastAsia="es-MX"/>
        </w:rPr>
        <w:t>”</w:t>
      </w:r>
    </w:p>
    <w:p w:rsidR="00691C69" w:rsidRPr="00422884" w:rsidRDefault="00691C69" w:rsidP="00150AF3">
      <w:pPr>
        <w:spacing w:after="0" w:line="360" w:lineRule="auto"/>
        <w:jc w:val="both"/>
        <w:rPr>
          <w:rFonts w:ascii="Palatino Linotype" w:hAnsi="Palatino Linotype"/>
        </w:rPr>
      </w:pPr>
    </w:p>
    <w:p w:rsidR="001473D7" w:rsidRDefault="00150AF3" w:rsidP="007B1C7C">
      <w:pPr>
        <w:spacing w:line="360" w:lineRule="auto"/>
        <w:jc w:val="both"/>
        <w:rPr>
          <w:rFonts w:ascii="Palatino Linotype" w:hAnsi="Palatino Linotype"/>
          <w:sz w:val="23"/>
          <w:szCs w:val="23"/>
        </w:rPr>
      </w:pPr>
      <w:r w:rsidRPr="00422884">
        <w:rPr>
          <w:rFonts w:ascii="Palatino Linotype" w:hAnsi="Palatino Linotype"/>
          <w:sz w:val="23"/>
          <w:szCs w:val="23"/>
        </w:rPr>
        <w:t>Por otra parte debe precisarse que una vez que fue substanciado el recurso de revisión al rubro indicado, en la resolución se determinó que</w:t>
      </w:r>
      <w:r w:rsidRPr="00422884">
        <w:rPr>
          <w:rFonts w:ascii="Palatino Linotype" w:eastAsia="Times New Roman" w:hAnsi="Palatino Linotype" w:cs="Arial"/>
          <w:sz w:val="23"/>
          <w:szCs w:val="23"/>
          <w:lang w:eastAsia="es-ES"/>
        </w:rPr>
        <w:t xml:space="preserve"> </w:t>
      </w:r>
      <w:r w:rsidR="00691C69" w:rsidRPr="00422884">
        <w:rPr>
          <w:rFonts w:ascii="Palatino Linotype" w:hAnsi="Palatino Linotype"/>
          <w:sz w:val="23"/>
          <w:szCs w:val="23"/>
        </w:rPr>
        <w:t xml:space="preserve">los motivos o razones de inconformidad eran fundados, </w:t>
      </w:r>
      <w:r w:rsidR="0016426E">
        <w:rPr>
          <w:rFonts w:ascii="Palatino Linotype" w:hAnsi="Palatino Linotype"/>
          <w:sz w:val="23"/>
          <w:szCs w:val="23"/>
        </w:rPr>
        <w:t>revocando</w:t>
      </w:r>
      <w:r w:rsidR="00691C69" w:rsidRPr="00422884">
        <w:rPr>
          <w:rFonts w:ascii="Palatino Linotype" w:hAnsi="Palatino Linotype"/>
          <w:sz w:val="23"/>
          <w:szCs w:val="23"/>
        </w:rPr>
        <w:t xml:space="preserve"> la respuesta del Sujeto Obligado y ordena la entrega de la información en versión pública, resaltando</w:t>
      </w:r>
      <w:r w:rsidR="00E64B4A">
        <w:rPr>
          <w:rFonts w:ascii="Palatino Linotype" w:hAnsi="Palatino Linotype"/>
          <w:sz w:val="23"/>
          <w:szCs w:val="23"/>
        </w:rPr>
        <w:t xml:space="preserve"> que en</w:t>
      </w:r>
      <w:r w:rsidR="0016426E">
        <w:rPr>
          <w:rFonts w:ascii="Palatino Linotype" w:hAnsi="Palatino Linotype"/>
          <w:sz w:val="23"/>
          <w:szCs w:val="23"/>
        </w:rPr>
        <w:t xml:space="preserve"> los incisos </w:t>
      </w:r>
      <w:r w:rsidR="0016426E" w:rsidRPr="0016426E">
        <w:rPr>
          <w:rFonts w:ascii="Palatino Linotype" w:hAnsi="Palatino Linotype"/>
          <w:b/>
          <w:sz w:val="23"/>
          <w:szCs w:val="23"/>
        </w:rPr>
        <w:t>a)</w:t>
      </w:r>
      <w:r w:rsidR="0016426E">
        <w:rPr>
          <w:rFonts w:ascii="Palatino Linotype" w:hAnsi="Palatino Linotype"/>
          <w:sz w:val="23"/>
          <w:szCs w:val="23"/>
        </w:rPr>
        <w:t xml:space="preserve"> y </w:t>
      </w:r>
      <w:r w:rsidR="0016426E" w:rsidRPr="0016426E">
        <w:rPr>
          <w:rFonts w:ascii="Palatino Linotype" w:hAnsi="Palatino Linotype"/>
          <w:b/>
          <w:sz w:val="23"/>
          <w:szCs w:val="23"/>
        </w:rPr>
        <w:t>b)</w:t>
      </w:r>
      <w:r w:rsidR="00E64B4A">
        <w:rPr>
          <w:rFonts w:ascii="Palatino Linotype" w:hAnsi="Palatino Linotype"/>
          <w:sz w:val="23"/>
          <w:szCs w:val="23"/>
        </w:rPr>
        <w:t xml:space="preserve"> el</w:t>
      </w:r>
      <w:r w:rsidR="00D77DC4" w:rsidRPr="00422884">
        <w:rPr>
          <w:rFonts w:ascii="Palatino Linotype" w:hAnsi="Palatino Linotype"/>
          <w:sz w:val="23"/>
          <w:szCs w:val="23"/>
        </w:rPr>
        <w:t xml:space="preserve"> resolutivo segundo de</w:t>
      </w:r>
      <w:r w:rsidR="00691C69" w:rsidRPr="00422884">
        <w:rPr>
          <w:rFonts w:ascii="Palatino Linotype" w:hAnsi="Palatino Linotype"/>
          <w:sz w:val="23"/>
          <w:szCs w:val="23"/>
        </w:rPr>
        <w:t xml:space="preserve"> la </w:t>
      </w:r>
      <w:r w:rsidR="00D77DC4" w:rsidRPr="00422884">
        <w:rPr>
          <w:rFonts w:ascii="Palatino Linotype" w:hAnsi="Palatino Linotype"/>
          <w:sz w:val="23"/>
          <w:szCs w:val="23"/>
        </w:rPr>
        <w:t xml:space="preserve">resolución del recurso de revisión al rubro anotado, se ordenó la entrega del </w:t>
      </w:r>
      <w:r w:rsidR="0016426E" w:rsidRPr="0016426E">
        <w:rPr>
          <w:rFonts w:ascii="Palatino Linotype" w:hAnsi="Palatino Linotype"/>
          <w:b/>
          <w:i/>
          <w:sz w:val="23"/>
          <w:szCs w:val="23"/>
          <w:lang w:val="es-ES_tradnl"/>
        </w:rPr>
        <w:t xml:space="preserve"> título o cédula profesional de la Titular de la Subdirección de Información, Planeación, Programación y Evaluación, referida en la solicitud</w:t>
      </w:r>
      <w:r w:rsidR="0016426E">
        <w:rPr>
          <w:rFonts w:ascii="Palatino Linotype" w:hAnsi="Palatino Linotype"/>
          <w:b/>
          <w:i/>
          <w:sz w:val="23"/>
          <w:szCs w:val="23"/>
          <w:lang w:val="es-ES_tradnl"/>
        </w:rPr>
        <w:t xml:space="preserve"> y e</w:t>
      </w:r>
      <w:r w:rsidR="0016426E" w:rsidRPr="0016426E">
        <w:rPr>
          <w:rFonts w:ascii="Palatino Linotype" w:hAnsi="Palatino Linotype"/>
          <w:b/>
          <w:i/>
          <w:sz w:val="23"/>
          <w:szCs w:val="23"/>
          <w:lang w:val="es-ES_tradnl"/>
        </w:rPr>
        <w:t>l documento que acredite el grado de maestría del servidor público que ostenta el cargo de Secretario Administrativo, referido por el particular</w:t>
      </w:r>
      <w:r w:rsidR="0016426E">
        <w:rPr>
          <w:rFonts w:ascii="Palatino Linotype" w:hAnsi="Palatino Linotype"/>
          <w:b/>
          <w:i/>
          <w:sz w:val="23"/>
          <w:szCs w:val="23"/>
          <w:lang w:val="es-ES_tradnl"/>
        </w:rPr>
        <w:t xml:space="preserve"> </w:t>
      </w:r>
      <w:r w:rsidR="00E64B4A">
        <w:rPr>
          <w:rFonts w:ascii="Palatino Linotype" w:hAnsi="Palatino Linotype"/>
          <w:sz w:val="23"/>
          <w:szCs w:val="23"/>
        </w:rPr>
        <w:t>referido</w:t>
      </w:r>
      <w:r w:rsidR="0016426E">
        <w:rPr>
          <w:rFonts w:ascii="Palatino Linotype" w:hAnsi="Palatino Linotype"/>
          <w:sz w:val="23"/>
          <w:szCs w:val="23"/>
        </w:rPr>
        <w:t>s</w:t>
      </w:r>
      <w:r w:rsidR="00E64B4A">
        <w:rPr>
          <w:rFonts w:ascii="Palatino Linotype" w:hAnsi="Palatino Linotype"/>
          <w:sz w:val="23"/>
          <w:szCs w:val="23"/>
        </w:rPr>
        <w:t xml:space="preserve"> en la solicitud de información</w:t>
      </w:r>
      <w:r w:rsidR="00D77DC4" w:rsidRPr="00422884">
        <w:rPr>
          <w:rFonts w:ascii="Palatino Linotype" w:hAnsi="Palatino Linotype"/>
          <w:b/>
          <w:sz w:val="23"/>
          <w:szCs w:val="23"/>
        </w:rPr>
        <w:t xml:space="preserve">, </w:t>
      </w:r>
      <w:r w:rsidR="00D77DC4" w:rsidRPr="00422884">
        <w:rPr>
          <w:rFonts w:ascii="Palatino Linotype" w:hAnsi="Palatino Linotype"/>
          <w:sz w:val="23"/>
          <w:szCs w:val="23"/>
        </w:rPr>
        <w:t xml:space="preserve">en </w:t>
      </w:r>
      <w:r w:rsidR="00D77DC4" w:rsidRPr="00422884">
        <w:rPr>
          <w:rFonts w:ascii="Palatino Linotype" w:hAnsi="Palatino Linotype"/>
          <w:sz w:val="23"/>
          <w:szCs w:val="23"/>
        </w:rPr>
        <w:lastRenderedPageBreak/>
        <w:t xml:space="preserve">versión </w:t>
      </w:r>
      <w:r w:rsidR="00D77DC4" w:rsidRPr="001473D7">
        <w:rPr>
          <w:rFonts w:ascii="Palatino Linotype" w:hAnsi="Palatino Linotype"/>
          <w:sz w:val="23"/>
          <w:szCs w:val="23"/>
        </w:rPr>
        <w:t xml:space="preserve">pública, sobre este punto en particular es de suma importancia mencionar que si bien es cierto </w:t>
      </w:r>
      <w:r w:rsidR="0016426E">
        <w:rPr>
          <w:rFonts w:ascii="Palatino Linotype" w:hAnsi="Palatino Linotype"/>
          <w:sz w:val="23"/>
          <w:szCs w:val="23"/>
        </w:rPr>
        <w:t>la</w:t>
      </w:r>
      <w:r w:rsidR="007B1C7C">
        <w:rPr>
          <w:rFonts w:ascii="Palatino Linotype" w:hAnsi="Palatino Linotype"/>
          <w:sz w:val="23"/>
          <w:szCs w:val="23"/>
        </w:rPr>
        <w:t xml:space="preserve"> Comisionado Ponente en la resolución establece:</w:t>
      </w:r>
    </w:p>
    <w:p w:rsidR="007B1C7C" w:rsidRPr="007B1C7C" w:rsidRDefault="007B1C7C" w:rsidP="007B1C7C">
      <w:pPr>
        <w:spacing w:after="0" w:line="240" w:lineRule="auto"/>
        <w:ind w:left="851" w:right="990"/>
        <w:contextualSpacing/>
        <w:jc w:val="both"/>
        <w:rPr>
          <w:rFonts w:ascii="Palatino Linotype" w:hAnsi="Palatino Linotype" w:cs="Arial"/>
          <w:i/>
          <w:szCs w:val="24"/>
        </w:rPr>
      </w:pPr>
      <w:r>
        <w:rPr>
          <w:rFonts w:ascii="Palatino Linotype" w:hAnsi="Palatino Linotype" w:cs="Arial"/>
          <w:i/>
          <w:szCs w:val="24"/>
        </w:rPr>
        <w:t>“</w:t>
      </w:r>
      <w:r w:rsidRPr="007B1C7C">
        <w:rPr>
          <w:rFonts w:ascii="Palatino Linotype" w:hAnsi="Palatino Linotype" w:cs="Arial"/>
          <w:i/>
          <w:szCs w:val="24"/>
        </w:rPr>
        <w:t xml:space="preserve">Es así que, de la normatividad referida se advierte que el documento que avala una profesión es el título o cédula profesional; sin embargo, es importante referir que para ser titular de la Subdirección de Información, Planeación, Programación y Evaluación, no es necesario cumplir con el requisito de presentar el título profesional o cédula; sin embargo, este Órgano Garante en aras de garantizar el derecho de acceso a la información ejercido por la recurrente determina ordenar la búsqueda exhaustiva y razonable a fin de que </w:t>
      </w:r>
      <w:r w:rsidRPr="007B1C7C">
        <w:rPr>
          <w:rFonts w:ascii="Palatino Linotype" w:hAnsi="Palatino Linotype" w:cs="Arial"/>
          <w:b/>
          <w:i/>
          <w:szCs w:val="24"/>
        </w:rPr>
        <w:t>EL</w:t>
      </w:r>
      <w:r w:rsidRPr="007B1C7C">
        <w:rPr>
          <w:rFonts w:ascii="Palatino Linotype" w:hAnsi="Palatino Linotype" w:cs="Arial"/>
          <w:i/>
          <w:szCs w:val="24"/>
        </w:rPr>
        <w:t xml:space="preserve"> </w:t>
      </w:r>
      <w:r w:rsidRPr="007B1C7C">
        <w:rPr>
          <w:rFonts w:ascii="Palatino Linotype" w:hAnsi="Palatino Linotype" w:cs="Arial"/>
          <w:b/>
          <w:i/>
          <w:szCs w:val="24"/>
        </w:rPr>
        <w:t>SUJETO OBLIGADO</w:t>
      </w:r>
      <w:r w:rsidRPr="007B1C7C">
        <w:rPr>
          <w:rFonts w:ascii="Palatino Linotype" w:hAnsi="Palatino Linotype" w:cs="Arial"/>
          <w:i/>
          <w:szCs w:val="24"/>
        </w:rPr>
        <w:t xml:space="preserve"> haga entrega de ser procedente en </w:t>
      </w:r>
      <w:r w:rsidRPr="007B1C7C">
        <w:rPr>
          <w:rFonts w:ascii="Palatino Linotype" w:hAnsi="Palatino Linotype" w:cs="Arial"/>
          <w:b/>
          <w:i/>
          <w:szCs w:val="24"/>
        </w:rPr>
        <w:t xml:space="preserve">versión pública </w:t>
      </w:r>
      <w:r w:rsidRPr="007B1C7C">
        <w:rPr>
          <w:rFonts w:ascii="Palatino Linotype" w:hAnsi="Palatino Linotype" w:cs="Arial"/>
          <w:i/>
          <w:szCs w:val="24"/>
        </w:rPr>
        <w:t>el título o cédula profesional de la servidor público referida por el particular en su solicitud, y para el caso de que no obre en sus archivos bastará que lo haga del conocimiento al particular.</w:t>
      </w:r>
      <w:r>
        <w:rPr>
          <w:rFonts w:ascii="Palatino Linotype" w:hAnsi="Palatino Linotype" w:cs="Arial"/>
          <w:i/>
          <w:szCs w:val="24"/>
        </w:rPr>
        <w:t>”</w:t>
      </w:r>
    </w:p>
    <w:p w:rsidR="007B1C7C" w:rsidRDefault="007B1C7C" w:rsidP="00150AF3">
      <w:pPr>
        <w:spacing w:after="0" w:line="360" w:lineRule="auto"/>
        <w:jc w:val="both"/>
        <w:rPr>
          <w:rFonts w:ascii="Palatino Linotype" w:hAnsi="Palatino Linotype"/>
          <w:sz w:val="23"/>
          <w:szCs w:val="23"/>
        </w:rPr>
      </w:pPr>
    </w:p>
    <w:p w:rsidR="00E64B4A" w:rsidRDefault="00D77DC4" w:rsidP="00420162">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t>De lo precisado con antelación</w:t>
      </w:r>
      <w:r w:rsidR="00A50BA5" w:rsidRPr="00422884">
        <w:rPr>
          <w:rFonts w:ascii="Palatino Linotype" w:hAnsi="Palatino Linotype"/>
          <w:sz w:val="23"/>
          <w:szCs w:val="23"/>
        </w:rPr>
        <w:t>,</w:t>
      </w:r>
      <w:r w:rsidRPr="00422884">
        <w:rPr>
          <w:rFonts w:ascii="Palatino Linotype" w:hAnsi="Palatino Linotype"/>
          <w:sz w:val="23"/>
          <w:szCs w:val="23"/>
        </w:rPr>
        <w:t xml:space="preserve"> el suscrito estima pertinente referir que si bien es cierto,</w:t>
      </w:r>
      <w:r w:rsidR="00176E6F">
        <w:rPr>
          <w:rFonts w:ascii="Palatino Linotype" w:hAnsi="Palatino Linotype"/>
          <w:sz w:val="23"/>
          <w:szCs w:val="23"/>
        </w:rPr>
        <w:t xml:space="preserve"> </w:t>
      </w:r>
      <w:r w:rsidR="00F423F6">
        <w:rPr>
          <w:rFonts w:ascii="Palatino Linotype" w:hAnsi="Palatino Linotype"/>
          <w:sz w:val="23"/>
          <w:szCs w:val="23"/>
        </w:rPr>
        <w:t xml:space="preserve">en la resolución se ordena en versión publica del </w:t>
      </w:r>
      <w:r w:rsidR="00176E6F">
        <w:rPr>
          <w:rFonts w:ascii="Palatino Linotype" w:hAnsi="Palatino Linotype"/>
          <w:sz w:val="23"/>
          <w:szCs w:val="23"/>
        </w:rPr>
        <w:t xml:space="preserve"> entrega del </w:t>
      </w:r>
      <w:r w:rsidR="00F423F6" w:rsidRPr="00F423F6">
        <w:rPr>
          <w:rFonts w:ascii="Palatino Linotype" w:hAnsi="Palatino Linotype" w:cs="Arial"/>
          <w:b/>
          <w:i/>
          <w:sz w:val="24"/>
          <w:szCs w:val="24"/>
        </w:rPr>
        <w:t>título o cédula profesional</w:t>
      </w:r>
      <w:r w:rsidR="00F423F6">
        <w:rPr>
          <w:rFonts w:ascii="Palatino Linotype" w:hAnsi="Palatino Linotype" w:cs="Arial"/>
          <w:b/>
          <w:i/>
          <w:sz w:val="24"/>
          <w:szCs w:val="24"/>
        </w:rPr>
        <w:t xml:space="preserve">, </w:t>
      </w:r>
      <w:r w:rsidR="00F423F6">
        <w:rPr>
          <w:rFonts w:ascii="Palatino Linotype" w:hAnsi="Palatino Linotype" w:cs="Arial"/>
          <w:sz w:val="24"/>
          <w:szCs w:val="24"/>
        </w:rPr>
        <w:t>también lo es que en el mismo proyecto, en lo referente a la fotografía considera que esta debe ser visible</w:t>
      </w:r>
      <w:r w:rsidR="00436CB0">
        <w:rPr>
          <w:rFonts w:ascii="Palatino Linotype" w:hAnsi="Palatino Linotype"/>
          <w:sz w:val="23"/>
          <w:szCs w:val="23"/>
        </w:rPr>
        <w:t xml:space="preserve">, difiriendo así en el sentido en que </w:t>
      </w:r>
      <w:r w:rsidR="006420A6">
        <w:rPr>
          <w:rFonts w:ascii="Palatino Linotype" w:hAnsi="Palatino Linotype"/>
          <w:sz w:val="23"/>
          <w:szCs w:val="23"/>
        </w:rPr>
        <w:t>se</w:t>
      </w:r>
      <w:r w:rsidR="00436CB0">
        <w:rPr>
          <w:rFonts w:ascii="Palatino Linotype" w:hAnsi="Palatino Linotype"/>
          <w:sz w:val="23"/>
          <w:szCs w:val="23"/>
        </w:rPr>
        <w:t xml:space="preserve"> orden</w:t>
      </w:r>
      <w:r w:rsidR="00095644">
        <w:rPr>
          <w:rFonts w:ascii="Palatino Linotype" w:hAnsi="Palatino Linotype"/>
          <w:sz w:val="23"/>
          <w:szCs w:val="23"/>
        </w:rPr>
        <w:t>e</w:t>
      </w:r>
      <w:r w:rsidR="00436CB0">
        <w:rPr>
          <w:rFonts w:ascii="Palatino Linotype" w:hAnsi="Palatino Linotype"/>
          <w:sz w:val="23"/>
          <w:szCs w:val="23"/>
        </w:rPr>
        <w:t xml:space="preserve"> </w:t>
      </w:r>
      <w:r w:rsidR="006420A6">
        <w:rPr>
          <w:rFonts w:ascii="Palatino Linotype" w:hAnsi="Palatino Linotype"/>
          <w:sz w:val="23"/>
          <w:szCs w:val="23"/>
        </w:rPr>
        <w:t>la</w:t>
      </w:r>
      <w:r w:rsidR="00436CB0">
        <w:rPr>
          <w:rFonts w:ascii="Palatino Linotype" w:hAnsi="Palatino Linotype"/>
          <w:sz w:val="23"/>
          <w:szCs w:val="23"/>
        </w:rPr>
        <w:t xml:space="preserve"> entrega de dicho documento </w:t>
      </w:r>
      <w:r w:rsidR="001473D7">
        <w:rPr>
          <w:rFonts w:ascii="Palatino Linotype" w:hAnsi="Palatino Linotype"/>
          <w:sz w:val="23"/>
          <w:szCs w:val="23"/>
        </w:rPr>
        <w:t>dej</w:t>
      </w:r>
      <w:r w:rsidR="00436CB0">
        <w:rPr>
          <w:rFonts w:ascii="Palatino Linotype" w:hAnsi="Palatino Linotype"/>
          <w:sz w:val="23"/>
          <w:szCs w:val="23"/>
        </w:rPr>
        <w:t>ando</w:t>
      </w:r>
      <w:r w:rsidR="001473D7">
        <w:rPr>
          <w:rFonts w:ascii="Palatino Linotype" w:hAnsi="Palatino Linotype"/>
          <w:sz w:val="23"/>
          <w:szCs w:val="23"/>
        </w:rPr>
        <w:t xml:space="preserve"> visible</w:t>
      </w:r>
      <w:r w:rsidRPr="00422884">
        <w:rPr>
          <w:rFonts w:ascii="Palatino Linotype" w:hAnsi="Palatino Linotype"/>
          <w:sz w:val="23"/>
          <w:szCs w:val="23"/>
        </w:rPr>
        <w:t xml:space="preserve"> </w:t>
      </w:r>
      <w:r w:rsidR="001473D7">
        <w:rPr>
          <w:rFonts w:ascii="Palatino Linotype" w:hAnsi="Palatino Linotype"/>
          <w:sz w:val="23"/>
          <w:szCs w:val="23"/>
        </w:rPr>
        <w:t>el dato consistente</w:t>
      </w:r>
      <w:r w:rsidRPr="00422884">
        <w:rPr>
          <w:rFonts w:ascii="Palatino Linotype" w:hAnsi="Palatino Linotype"/>
          <w:sz w:val="23"/>
          <w:szCs w:val="23"/>
        </w:rPr>
        <w:t xml:space="preserve"> en la fotografía de la persona a favor de quien se expidió la documental en mención, </w:t>
      </w:r>
      <w:r w:rsidR="00EF03A0" w:rsidRPr="00422884">
        <w:rPr>
          <w:rFonts w:ascii="Palatino Linotype" w:hAnsi="Palatino Linotype"/>
          <w:sz w:val="23"/>
          <w:szCs w:val="23"/>
        </w:rPr>
        <w:t>lo anterior es así, toda vez que no se debe</w:t>
      </w:r>
      <w:r w:rsidR="00420162" w:rsidRPr="00422884">
        <w:rPr>
          <w:rFonts w:ascii="Palatino Linotype" w:hAnsi="Palatino Linotype"/>
          <w:sz w:val="23"/>
          <w:szCs w:val="23"/>
        </w:rPr>
        <w:t xml:space="preserve"> perder de vista que </w:t>
      </w:r>
      <w:r w:rsidR="00436CB0">
        <w:rPr>
          <w:rFonts w:ascii="Palatino Linotype" w:hAnsi="Palatino Linotype"/>
          <w:sz w:val="23"/>
          <w:szCs w:val="23"/>
        </w:rPr>
        <w:t>el mismo</w:t>
      </w:r>
      <w:r w:rsidR="00E64B4A">
        <w:rPr>
          <w:rFonts w:ascii="Palatino Linotype" w:hAnsi="Palatino Linotype"/>
          <w:sz w:val="23"/>
          <w:szCs w:val="23"/>
        </w:rPr>
        <w:t xml:space="preserve"> constituye un dato personal que hace</w:t>
      </w:r>
      <w:r w:rsidR="00420162" w:rsidRPr="00422884">
        <w:rPr>
          <w:rFonts w:ascii="Palatino Linotype" w:hAnsi="Palatino Linotype"/>
          <w:sz w:val="23"/>
          <w:szCs w:val="23"/>
        </w:rPr>
        <w:t xml:space="preserve"> identificable a la persona, por lo que </w:t>
      </w:r>
      <w:r w:rsidR="00E64B4A">
        <w:rPr>
          <w:rFonts w:ascii="Palatino Linotype" w:hAnsi="Palatino Linotype"/>
          <w:sz w:val="23"/>
          <w:szCs w:val="23"/>
        </w:rPr>
        <w:t>es</w:t>
      </w:r>
      <w:r w:rsidR="00420162" w:rsidRPr="00422884">
        <w:rPr>
          <w:rFonts w:ascii="Palatino Linotype" w:hAnsi="Palatino Linotype"/>
          <w:sz w:val="23"/>
          <w:szCs w:val="23"/>
        </w:rPr>
        <w:t xml:space="preserve"> </w:t>
      </w:r>
      <w:r w:rsidR="00E64B4A">
        <w:rPr>
          <w:rFonts w:ascii="Palatino Linotype" w:hAnsi="Palatino Linotype"/>
          <w:sz w:val="23"/>
          <w:szCs w:val="23"/>
          <w:lang w:val="es-ES"/>
        </w:rPr>
        <w:t>susceptible de ser testado</w:t>
      </w:r>
      <w:r w:rsidR="00420162" w:rsidRPr="00422884">
        <w:rPr>
          <w:rFonts w:ascii="Palatino Linotype" w:hAnsi="Palatino Linotype"/>
          <w:sz w:val="23"/>
          <w:szCs w:val="23"/>
          <w:lang w:val="es-ES"/>
        </w:rPr>
        <w:t xml:space="preserve"> con el </w:t>
      </w:r>
      <w:r w:rsidR="00E64B4A">
        <w:rPr>
          <w:rFonts w:ascii="Palatino Linotype" w:hAnsi="Palatino Linotype"/>
          <w:sz w:val="23"/>
          <w:szCs w:val="23"/>
          <w:lang w:val="es-ES_tradnl"/>
        </w:rPr>
        <w:t>objeto de protegerlo</w:t>
      </w:r>
      <w:r w:rsidR="00420162" w:rsidRPr="00422884">
        <w:rPr>
          <w:rFonts w:ascii="Palatino Linotype" w:hAnsi="Palatino Linotype"/>
          <w:sz w:val="23"/>
          <w:szCs w:val="23"/>
          <w:lang w:val="es-ES_tradnl"/>
        </w:rPr>
        <w:t xml:space="preserve">, </w:t>
      </w:r>
      <w:r w:rsidR="00420162" w:rsidRPr="00422884">
        <w:rPr>
          <w:rFonts w:ascii="Palatino Linotype" w:hAnsi="Palatino Linotype"/>
          <w:sz w:val="23"/>
          <w:szCs w:val="23"/>
          <w:lang w:val="es-ES"/>
        </w:rPr>
        <w:t>en términos del artículo 4 fracción VII de la Ley de Protección de Datos Personales del Estado de México.</w:t>
      </w:r>
    </w:p>
    <w:p w:rsidR="00F423F6" w:rsidRPr="00F423F6" w:rsidRDefault="00F423F6" w:rsidP="00420162">
      <w:pPr>
        <w:spacing w:after="0" w:line="360" w:lineRule="auto"/>
        <w:jc w:val="both"/>
        <w:rPr>
          <w:rFonts w:ascii="Palatino Linotype" w:hAnsi="Palatino Linotype"/>
          <w:sz w:val="14"/>
          <w:szCs w:val="23"/>
          <w:lang w:val="es-ES"/>
        </w:rPr>
      </w:pPr>
    </w:p>
    <w:p w:rsidR="00420162" w:rsidRPr="00422884" w:rsidRDefault="00420162" w:rsidP="00420162">
      <w:pPr>
        <w:spacing w:after="0" w:line="360" w:lineRule="auto"/>
        <w:jc w:val="both"/>
        <w:rPr>
          <w:rFonts w:ascii="Palatino Linotype" w:hAnsi="Palatino Linotype"/>
          <w:lang w:val="es-ES"/>
        </w:rPr>
      </w:pPr>
      <w:r w:rsidRPr="00422884">
        <w:rPr>
          <w:rFonts w:ascii="Palatino Linotype" w:hAnsi="Palatino Linotype"/>
          <w:sz w:val="23"/>
          <w:szCs w:val="23"/>
          <w:lang w:val="es-ES"/>
        </w:rPr>
        <w:t xml:space="preserve">Robustece lo anterior, el criterio sustentado por la Segunda Sala de la Suprema Corte de Justicia de la Nación, visible en la página 2518 del Tomo XXII, de la Novena Época del </w:t>
      </w:r>
      <w:r w:rsidRPr="00422884">
        <w:rPr>
          <w:rFonts w:ascii="Palatino Linotype" w:hAnsi="Palatino Linotype"/>
          <w:sz w:val="23"/>
          <w:szCs w:val="23"/>
          <w:lang w:val="es-ES"/>
        </w:rPr>
        <w:lastRenderedPageBreak/>
        <w:t>Semanario Judicial de la Federación y su Gaceta, Julio de 2008, de rubro y texto siguientes:</w:t>
      </w:r>
      <w:r w:rsidRPr="00422884">
        <w:rPr>
          <w:rFonts w:ascii="Palatino Linotype" w:hAnsi="Palatino Linotype"/>
          <w:lang w:val="es-ES"/>
        </w:rPr>
        <w:tab/>
      </w:r>
    </w:p>
    <w:p w:rsidR="00420162" w:rsidRPr="00422884" w:rsidRDefault="00420162" w:rsidP="00420162">
      <w:pPr>
        <w:spacing w:after="0" w:line="240" w:lineRule="auto"/>
        <w:ind w:left="851" w:right="851"/>
        <w:jc w:val="both"/>
        <w:rPr>
          <w:rFonts w:ascii="Palatino Linotype" w:hAnsi="Palatino Linotype"/>
          <w:i/>
          <w:sz w:val="21"/>
          <w:szCs w:val="21"/>
        </w:rPr>
      </w:pPr>
      <w:r w:rsidRPr="00422884">
        <w:rPr>
          <w:rFonts w:ascii="Palatino Linotype" w:hAnsi="Palatino Linotype"/>
          <w:i/>
          <w:sz w:val="21"/>
          <w:szCs w:val="21"/>
          <w:lang w:val="es-ES"/>
        </w:rPr>
        <w:t>"</w:t>
      </w:r>
      <w:r w:rsidRPr="00422884">
        <w:rPr>
          <w:rFonts w:ascii="Palatino Linotype" w:hAnsi="Palatino Linotype"/>
          <w:b/>
          <w:bCs/>
          <w:i/>
          <w:sz w:val="21"/>
          <w:szCs w:val="21"/>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22884">
        <w:rPr>
          <w:rFonts w:ascii="Palatino Linotype" w:hAnsi="Palatino Linotype"/>
          <w:i/>
          <w:sz w:val="21"/>
          <w:szCs w:val="21"/>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xml:space="preserve"> de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xml:space="preserve"> se refiere únicamente a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por estar encausado al respeto de un derecho personalísimo, como es el de la intimidad, del cual derivó aquél. Esto es, en el apuntado supuesto no se actualiza una igualdad jurídica entre las personas </w:t>
      </w:r>
      <w:r w:rsidRPr="00422884">
        <w:rPr>
          <w:rFonts w:ascii="Palatino Linotype" w:hAnsi="Palatino Linotype"/>
          <w:bCs/>
          <w:i/>
          <w:sz w:val="21"/>
          <w:szCs w:val="21"/>
        </w:rPr>
        <w:t>físicas</w:t>
      </w:r>
      <w:r w:rsidRPr="00422884">
        <w:rPr>
          <w:rFonts w:ascii="Palatino Linotype" w:hAnsi="Palatino Linotype"/>
          <w:i/>
          <w:sz w:val="21"/>
          <w:szCs w:val="21"/>
        </w:rPr>
        <w:t xml:space="preserve"> y las morales porque ambas están en situaciones de derecho dispares, ya que la protección de </w:t>
      </w:r>
      <w:r w:rsidRPr="00422884">
        <w:rPr>
          <w:rFonts w:ascii="Palatino Linotype" w:hAnsi="Palatino Linotype"/>
          <w:bCs/>
          <w:i/>
          <w:sz w:val="21"/>
          <w:szCs w:val="21"/>
        </w:rPr>
        <w:t>datos</w:t>
      </w:r>
      <w:r w:rsidRPr="00422884">
        <w:rPr>
          <w:rFonts w:ascii="Palatino Linotype" w:hAnsi="Palatino Linotype"/>
          <w:i/>
          <w:sz w:val="21"/>
          <w:szCs w:val="21"/>
        </w:rPr>
        <w:t xml:space="preserve"> </w:t>
      </w:r>
      <w:r w:rsidRPr="00422884">
        <w:rPr>
          <w:rFonts w:ascii="Palatino Linotype" w:hAnsi="Palatino Linotype"/>
          <w:bCs/>
          <w:i/>
          <w:sz w:val="21"/>
          <w:szCs w:val="21"/>
        </w:rPr>
        <w:t>personales</w:t>
      </w:r>
      <w:r w:rsidRPr="00422884">
        <w:rPr>
          <w:rFonts w:ascii="Palatino Linotype" w:hAnsi="Palatino Linotype"/>
          <w:i/>
          <w:sz w:val="21"/>
          <w:szCs w:val="21"/>
        </w:rPr>
        <w:t>, entre ellos el del patrimonio y su confidencialidad, es una derivación del derecho a la intimidad, del cual únicamente goza el individuo, entendido como la persona humana."</w:t>
      </w:r>
    </w:p>
    <w:p w:rsidR="00420162" w:rsidRDefault="00420162" w:rsidP="00420162">
      <w:pPr>
        <w:spacing w:after="0" w:line="360" w:lineRule="auto"/>
        <w:jc w:val="both"/>
        <w:rPr>
          <w:rFonts w:ascii="Palatino Linotype" w:hAnsi="Palatino Linotype"/>
          <w:sz w:val="23"/>
          <w:szCs w:val="23"/>
          <w:lang w:val="es-ES"/>
        </w:rPr>
      </w:pPr>
    </w:p>
    <w:p w:rsidR="00CB1762"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t xml:space="preserve">Al respecto es de mencionar que la versión pública ordenada debió tener por objeto testar la fotografía de la persona a favor de quien se expidió la documental consistente en el </w:t>
      </w:r>
      <w:r w:rsidR="00E64B4A">
        <w:rPr>
          <w:rFonts w:ascii="Palatino Linotype" w:hAnsi="Palatino Linotype"/>
          <w:sz w:val="23"/>
          <w:szCs w:val="23"/>
        </w:rPr>
        <w:t>Grado de Maestría</w:t>
      </w:r>
      <w:r w:rsidRPr="00422884">
        <w:rPr>
          <w:rFonts w:ascii="Palatino Linotype" w:hAnsi="Palatino Linotype"/>
          <w:sz w:val="23"/>
          <w:szCs w:val="23"/>
        </w:rPr>
        <w:t xml:space="preserve">; ya que la </w:t>
      </w:r>
      <w:r w:rsidRPr="00422884">
        <w:rPr>
          <w:rFonts w:ascii="Palatino Linotype" w:hAnsi="Palatino Linotype"/>
          <w:bCs/>
          <w:sz w:val="23"/>
          <w:szCs w:val="23"/>
          <w:lang w:val="es-ES"/>
        </w:rPr>
        <w:t>fotografía es un dato personal confidencial,</w:t>
      </w:r>
      <w:r w:rsidRPr="00422884">
        <w:rPr>
          <w:rFonts w:ascii="Palatino Linotype" w:hAnsi="Palatino Linotype"/>
          <w:b/>
          <w:bCs/>
          <w:sz w:val="23"/>
          <w:szCs w:val="23"/>
          <w:lang w:val="es-ES"/>
        </w:rPr>
        <w:t xml:space="preserve"> </w:t>
      </w:r>
      <w:r w:rsidRPr="00422884">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422884">
        <w:rPr>
          <w:rFonts w:ascii="Palatino Linotype" w:hAnsi="Palatino Linotype"/>
          <w:bCs/>
          <w:sz w:val="23"/>
          <w:szCs w:val="23"/>
          <w:lang w:val="es-ES"/>
        </w:rPr>
        <w:t xml:space="preserve">así como en el artículo 4, fracciones XI y XII de </w:t>
      </w:r>
      <w:r w:rsidRPr="00422884">
        <w:rPr>
          <w:rFonts w:ascii="Palatino Linotype" w:hAnsi="Palatino Linotype"/>
          <w:sz w:val="23"/>
          <w:szCs w:val="23"/>
          <w:lang w:val="es-ES"/>
        </w:rPr>
        <w:t>la Ley de Protección de Datos Personales en Posesión de Sujetos Obligados del Estado de México y Municipios.</w:t>
      </w:r>
    </w:p>
    <w:p w:rsidR="00E64B4A" w:rsidRPr="00422884" w:rsidRDefault="00E64B4A" w:rsidP="00CB1762">
      <w:pPr>
        <w:spacing w:after="0" w:line="360" w:lineRule="auto"/>
        <w:jc w:val="both"/>
        <w:rPr>
          <w:rFonts w:ascii="Palatino Linotype" w:hAnsi="Palatino Linotype"/>
          <w:sz w:val="23"/>
          <w:szCs w:val="23"/>
          <w:lang w:val="es-ES"/>
        </w:rPr>
      </w:pPr>
    </w:p>
    <w:p w:rsidR="00E64B4A"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w:t>
      </w:r>
    </w:p>
    <w:p w:rsidR="00CB1762" w:rsidRPr="00422884"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 </w:t>
      </w:r>
    </w:p>
    <w:p w:rsidR="00CB1762" w:rsidRDefault="00CB1762" w:rsidP="00CB1762">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E64B4A" w:rsidRPr="00422884" w:rsidRDefault="00E64B4A" w:rsidP="00CB1762">
      <w:pPr>
        <w:spacing w:after="0" w:line="360" w:lineRule="auto"/>
        <w:jc w:val="both"/>
        <w:rPr>
          <w:rFonts w:ascii="Palatino Linotype" w:hAnsi="Palatino Linotype"/>
          <w:sz w:val="23"/>
          <w:szCs w:val="23"/>
          <w:lang w:val="es-ES"/>
        </w:rPr>
      </w:pPr>
    </w:p>
    <w:p w:rsidR="00CB1762" w:rsidRDefault="00CB1762" w:rsidP="00CB1762">
      <w:pPr>
        <w:spacing w:after="0" w:line="360" w:lineRule="auto"/>
        <w:jc w:val="both"/>
        <w:rPr>
          <w:rFonts w:ascii="Palatino Linotype" w:hAnsi="Palatino Linotype"/>
          <w:sz w:val="23"/>
          <w:szCs w:val="23"/>
        </w:rPr>
      </w:pPr>
      <w:r w:rsidRPr="00422884">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422884">
        <w:rPr>
          <w:rFonts w:ascii="Palatino Linotype" w:hAnsi="Palatino Linotype"/>
          <w:sz w:val="23"/>
          <w:szCs w:val="23"/>
        </w:rPr>
        <w:t>.</w:t>
      </w:r>
    </w:p>
    <w:p w:rsidR="00E64B4A" w:rsidRPr="00422884" w:rsidRDefault="00E64B4A" w:rsidP="00CB1762">
      <w:pPr>
        <w:spacing w:after="0" w:line="360" w:lineRule="auto"/>
        <w:jc w:val="both"/>
        <w:rPr>
          <w:rFonts w:ascii="Palatino Linotype" w:hAnsi="Palatino Linotype"/>
          <w:sz w:val="23"/>
          <w:szCs w:val="23"/>
          <w:lang w:val="es-ES"/>
        </w:rPr>
      </w:pPr>
    </w:p>
    <w:p w:rsidR="00AB6AFA" w:rsidRPr="00422884" w:rsidRDefault="00420162" w:rsidP="00150AF3">
      <w:pPr>
        <w:spacing w:after="0" w:line="360" w:lineRule="auto"/>
        <w:jc w:val="both"/>
        <w:rPr>
          <w:rFonts w:ascii="Palatino Linotype" w:hAnsi="Palatino Linotype"/>
          <w:sz w:val="23"/>
          <w:szCs w:val="23"/>
        </w:rPr>
      </w:pPr>
      <w:r w:rsidRPr="00422884">
        <w:rPr>
          <w:rFonts w:ascii="Palatino Linotype" w:hAnsi="Palatino Linotype"/>
          <w:sz w:val="23"/>
          <w:szCs w:val="23"/>
          <w:lang w:val="es-ES"/>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w:t>
      </w:r>
      <w:r w:rsidRPr="00422884">
        <w:rPr>
          <w:rFonts w:ascii="Palatino Linotype" w:hAnsi="Palatino Linotype"/>
          <w:sz w:val="23"/>
          <w:szCs w:val="23"/>
          <w:lang w:val="es-ES"/>
        </w:rPr>
        <w:lastRenderedPageBreak/>
        <w:t xml:space="preserve">proyección exterior, y factor imprescindible para su propio reconocimiento como sujeto individual; por ende, para su difusión se requiere del consentimiento de los individuos; </w:t>
      </w:r>
    </w:p>
    <w:p w:rsidR="00AB6AFA" w:rsidRPr="00422884" w:rsidRDefault="00AB6AFA" w:rsidP="00150AF3">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422884" w:rsidRPr="00422884" w:rsidRDefault="00422884" w:rsidP="00150AF3">
      <w:pPr>
        <w:spacing w:after="0" w:line="360" w:lineRule="auto"/>
        <w:jc w:val="both"/>
        <w:rPr>
          <w:rFonts w:ascii="Palatino Linotype" w:hAnsi="Palatino Linotype"/>
          <w:sz w:val="23"/>
          <w:szCs w:val="23"/>
        </w:rPr>
      </w:pPr>
    </w:p>
    <w:p w:rsidR="00150AF3" w:rsidRPr="00422884" w:rsidRDefault="00150AF3" w:rsidP="00150AF3">
      <w:pPr>
        <w:spacing w:after="0" w:line="360" w:lineRule="auto"/>
        <w:jc w:val="both"/>
        <w:rPr>
          <w:rFonts w:ascii="Palatino Linotype" w:hAnsi="Palatino Linotype" w:cs="Arial"/>
          <w:sz w:val="23"/>
          <w:szCs w:val="23"/>
        </w:rPr>
      </w:pPr>
      <w:r w:rsidRPr="00422884">
        <w:rPr>
          <w:rFonts w:ascii="Palatino Linotype" w:hAnsi="Palatino Linotype"/>
          <w:sz w:val="23"/>
          <w:szCs w:val="23"/>
        </w:rPr>
        <w:t xml:space="preserve">En mérito de lo </w:t>
      </w:r>
      <w:r w:rsidR="009E3C12">
        <w:rPr>
          <w:rFonts w:ascii="Palatino Linotype" w:hAnsi="Palatino Linotype"/>
          <w:sz w:val="23"/>
          <w:szCs w:val="23"/>
        </w:rPr>
        <w:t>anterior</w:t>
      </w:r>
      <w:r w:rsidRPr="00422884">
        <w:rPr>
          <w:rFonts w:ascii="Palatino Linotype" w:hAnsi="Palatino Linotype" w:cs="Arial"/>
          <w:sz w:val="23"/>
          <w:szCs w:val="23"/>
        </w:rPr>
        <w:t xml:space="preserve">, </w:t>
      </w:r>
      <w:r w:rsidRPr="00422884">
        <w:rPr>
          <w:rFonts w:ascii="Palatino Linotype" w:hAnsi="Palatino Linotype"/>
          <w:sz w:val="23"/>
          <w:szCs w:val="23"/>
        </w:rPr>
        <w:t>el suscrito emite el presente voto particular.</w:t>
      </w:r>
    </w:p>
    <w:p w:rsidR="00150AF3" w:rsidRPr="00422884" w:rsidRDefault="00150AF3" w:rsidP="00150AF3">
      <w:pPr>
        <w:spacing w:after="0" w:line="360" w:lineRule="auto"/>
        <w:rPr>
          <w:rFonts w:ascii="Palatino Linotype" w:hAnsi="Palatino Linotype"/>
          <w:b/>
          <w:sz w:val="23"/>
          <w:szCs w:val="23"/>
        </w:rPr>
      </w:pPr>
    </w:p>
    <w:p w:rsidR="00150AF3" w:rsidRPr="00422884" w:rsidRDefault="00150AF3" w:rsidP="00150AF3">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150AF3" w:rsidRPr="00C41689" w:rsidRDefault="00150AF3" w:rsidP="00150AF3">
      <w:pPr>
        <w:spacing w:after="0" w:line="240" w:lineRule="auto"/>
        <w:jc w:val="center"/>
        <w:rPr>
          <w:rFonts w:ascii="Palatino Linotype" w:hAnsi="Palatino Linotype"/>
          <w:b/>
          <w:sz w:val="23"/>
          <w:szCs w:val="23"/>
        </w:rPr>
      </w:pPr>
      <w:bookmarkStart w:id="0" w:name="_GoBack"/>
      <w:r w:rsidRPr="00C41689">
        <w:rPr>
          <w:rFonts w:ascii="Palatino Linotype" w:hAnsi="Palatino Linotype"/>
          <w:b/>
          <w:sz w:val="23"/>
          <w:szCs w:val="23"/>
        </w:rPr>
        <w:t>Comisionado</w:t>
      </w:r>
    </w:p>
    <w:bookmarkEnd w:id="0"/>
    <w:p w:rsidR="004102EB" w:rsidRPr="006420A6" w:rsidRDefault="00FE4261" w:rsidP="006420A6">
      <w:pPr>
        <w:spacing w:after="0" w:line="240" w:lineRule="auto"/>
        <w:jc w:val="center"/>
        <w:rPr>
          <w:rFonts w:ascii="Palatino Linotype" w:hAnsi="Palatino Linotype"/>
          <w:sz w:val="23"/>
          <w:szCs w:val="23"/>
        </w:rPr>
      </w:pPr>
    </w:p>
    <w:sectPr w:rsidR="004102EB" w:rsidRPr="006420A6"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61" w:rsidRDefault="00FE4261" w:rsidP="00150AF3">
      <w:pPr>
        <w:spacing w:after="0" w:line="240" w:lineRule="auto"/>
      </w:pPr>
      <w:r>
        <w:separator/>
      </w:r>
    </w:p>
  </w:endnote>
  <w:endnote w:type="continuationSeparator" w:id="0">
    <w:p w:rsidR="00FE4261" w:rsidRDefault="00FE4261" w:rsidP="0015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706490"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41689">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41689">
      <w:rPr>
        <w:rFonts w:ascii="Arial" w:hAnsi="Arial" w:cs="Arial"/>
        <w:b/>
        <w:bCs/>
        <w:noProof/>
        <w:sz w:val="20"/>
        <w:szCs w:val="20"/>
      </w:rPr>
      <w:t>6</w:t>
    </w:r>
    <w:r w:rsidRPr="00986599">
      <w:rPr>
        <w:rFonts w:ascii="Arial" w:hAnsi="Arial" w:cs="Arial"/>
        <w:b/>
        <w:bCs/>
        <w:sz w:val="20"/>
        <w:szCs w:val="20"/>
      </w:rPr>
      <w:fldChar w:fldCharType="end"/>
    </w:r>
  </w:p>
  <w:p w:rsidR="00D758BE" w:rsidRDefault="00FE426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61" w:rsidRDefault="00FE4261" w:rsidP="00150AF3">
      <w:pPr>
        <w:spacing w:after="0" w:line="240" w:lineRule="auto"/>
      </w:pPr>
      <w:r>
        <w:separator/>
      </w:r>
    </w:p>
  </w:footnote>
  <w:footnote w:type="continuationSeparator" w:id="0">
    <w:p w:rsidR="00FE4261" w:rsidRDefault="00FE4261" w:rsidP="00150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06490">
    <w:pPr>
      <w:pStyle w:val="Encabezado"/>
    </w:pPr>
    <w:r>
      <w:rPr>
        <w:noProof/>
        <w:lang w:val="es-MX" w:eastAsia="es-MX"/>
      </w:rPr>
      <mc:AlternateContent>
        <mc:Choice Requires="wps">
          <w:drawing>
            <wp:anchor distT="0" distB="0" distL="114300" distR="114300" simplePos="0" relativeHeight="251659264" behindDoc="1" locked="0" layoutInCell="0" allowOverlap="1" wp14:anchorId="5A9A5F77" wp14:editId="6F4D47C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70649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9A5F7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70649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706490"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02C848B6" wp14:editId="589A1B4C">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FE4261" w:rsidP="007263BB">
    <w:pPr>
      <w:pStyle w:val="Encabezado"/>
      <w:jc w:val="right"/>
      <w:rPr>
        <w:rFonts w:ascii="Arial" w:hAnsi="Arial" w:cs="Arial"/>
        <w:sz w:val="20"/>
        <w:szCs w:val="20"/>
      </w:rPr>
    </w:pPr>
  </w:p>
  <w:p w:rsidR="00D758BE" w:rsidRDefault="00FE4261" w:rsidP="007263BB">
    <w:pPr>
      <w:pStyle w:val="Encabezado"/>
      <w:jc w:val="right"/>
      <w:rPr>
        <w:rFonts w:ascii="Arial" w:hAnsi="Arial" w:cs="Arial"/>
        <w:sz w:val="20"/>
        <w:szCs w:val="20"/>
      </w:rPr>
    </w:pPr>
  </w:p>
  <w:p w:rsidR="00706042" w:rsidRPr="00563D0F" w:rsidRDefault="00706490"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706490"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E64B4A">
      <w:rPr>
        <w:rFonts w:ascii="Palatino Linotype" w:hAnsi="Palatino Linotype" w:cs="Arial"/>
        <w:b/>
        <w:sz w:val="20"/>
        <w:szCs w:val="20"/>
      </w:rPr>
      <w:t>4</w:t>
    </w:r>
    <w:r w:rsidR="0016426E">
      <w:rPr>
        <w:rFonts w:ascii="Palatino Linotype" w:hAnsi="Palatino Linotype" w:cs="Arial"/>
        <w:b/>
        <w:sz w:val="20"/>
        <w:szCs w:val="20"/>
      </w:rPr>
      <w:t>627</w:t>
    </w:r>
    <w:r w:rsidR="00150AF3">
      <w:rPr>
        <w:rFonts w:ascii="Palatino Linotype" w:hAnsi="Palatino Linotype" w:cs="Arial"/>
        <w:b/>
        <w:sz w:val="20"/>
        <w:szCs w:val="20"/>
      </w:rPr>
      <w:t>/INFOEM/IP/RR/2018</w:t>
    </w:r>
  </w:p>
  <w:p w:rsidR="00D758BE" w:rsidRDefault="00FE4261" w:rsidP="007263BB">
    <w:pPr>
      <w:pStyle w:val="Encabezado"/>
      <w:jc w:val="right"/>
      <w:rPr>
        <w:rFonts w:ascii="Palatino Linotype" w:hAnsi="Palatino Linotype" w:cs="Arial"/>
        <w:sz w:val="20"/>
        <w:szCs w:val="20"/>
      </w:rPr>
    </w:pPr>
  </w:p>
  <w:p w:rsidR="00233AB2" w:rsidRDefault="00FE4261"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71FC2A6E"/>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FA65052"/>
    <w:multiLevelType w:val="hybridMultilevel"/>
    <w:tmpl w:val="57862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F3"/>
    <w:rsid w:val="00095644"/>
    <w:rsid w:val="000F1303"/>
    <w:rsid w:val="001473D7"/>
    <w:rsid w:val="00150AF3"/>
    <w:rsid w:val="0016426E"/>
    <w:rsid w:val="00176E6F"/>
    <w:rsid w:val="001C5257"/>
    <w:rsid w:val="00420162"/>
    <w:rsid w:val="00422884"/>
    <w:rsid w:val="00436CB0"/>
    <w:rsid w:val="004E541E"/>
    <w:rsid w:val="00545940"/>
    <w:rsid w:val="005A0D29"/>
    <w:rsid w:val="005A7241"/>
    <w:rsid w:val="00636227"/>
    <w:rsid w:val="006420A6"/>
    <w:rsid w:val="006429C1"/>
    <w:rsid w:val="00691C69"/>
    <w:rsid w:val="00706490"/>
    <w:rsid w:val="007B1C7C"/>
    <w:rsid w:val="00926F69"/>
    <w:rsid w:val="009A4132"/>
    <w:rsid w:val="009E3C12"/>
    <w:rsid w:val="00A50BA5"/>
    <w:rsid w:val="00AB6AFA"/>
    <w:rsid w:val="00B428E8"/>
    <w:rsid w:val="00B87BB8"/>
    <w:rsid w:val="00C41689"/>
    <w:rsid w:val="00CB1762"/>
    <w:rsid w:val="00CD025B"/>
    <w:rsid w:val="00D77DC4"/>
    <w:rsid w:val="00E2179F"/>
    <w:rsid w:val="00E64B4A"/>
    <w:rsid w:val="00E920A5"/>
    <w:rsid w:val="00EF03A0"/>
    <w:rsid w:val="00F423F6"/>
    <w:rsid w:val="00F63B56"/>
    <w:rsid w:val="00FE42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D2DC4-2AD0-4FD7-AA5D-1A05FAFA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F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A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0AF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50A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0AF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150AF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150AF3"/>
    <w:pPr>
      <w:ind w:left="720"/>
      <w:contextualSpacing/>
    </w:pPr>
  </w:style>
  <w:style w:type="character" w:customStyle="1" w:styleId="PrrafodelistaCar">
    <w:name w:val="Párrafo de lista Car"/>
    <w:link w:val="Prrafodelista"/>
    <w:uiPriority w:val="34"/>
    <w:locked/>
    <w:rsid w:val="00150AF3"/>
  </w:style>
  <w:style w:type="paragraph" w:styleId="Textodeglobo">
    <w:name w:val="Balloon Text"/>
    <w:basedOn w:val="Normal"/>
    <w:link w:val="TextodegloboCar"/>
    <w:uiPriority w:val="99"/>
    <w:semiHidden/>
    <w:unhideWhenUsed/>
    <w:rsid w:val="00B428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36632-9092-4DB0-83E2-5FEA2FC0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2019-02-18T21:48:00Z</cp:lastPrinted>
  <dcterms:created xsi:type="dcterms:W3CDTF">2019-01-11T19:20:00Z</dcterms:created>
  <dcterms:modified xsi:type="dcterms:W3CDTF">2019-02-18T21:48:00Z</dcterms:modified>
</cp:coreProperties>
</file>